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7B6A8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F43234" w:rsidRDefault="00193024" w:rsidP="007B6A87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Росжелдор)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7B6A87" w:rsidRP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«Реконструкция участка Москва-Пассажирская-Курская (вкл.) – </w:t>
      </w:r>
      <w:proofErr w:type="gramStart"/>
      <w:r w:rsidR="007B6A87" w:rsidRP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Москва-Товарная-Курская – Карачарово (искл.) со строительством дополнительных главных путей»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Положения о 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утвержденного постановлением Правительства Российской Федерации от 30.07.2004 № 397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основании документации по планировке территории, утвержденной распоряжением 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r w:rsidR="00AC327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25.03.2022</w:t>
      </w:r>
      <w:r w:rsidR="00AC327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№ АИ-199-р</w:t>
      </w:r>
      <w:r w:rsidR="00AC3272" w:rsidRPr="00AC327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«Об утверждении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документации по планировке территории (проект планировки территории и проект межевания территории) 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по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у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  <w:proofErr w:type="gramEnd"/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7B6A87" w:rsidRP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«Реконструкция участка Москва-Пассажирская-Курская (вкл.) – Москва-Товарная-Курская – Карачарово (искл.) 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7B6A87" w:rsidRP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 строительством дополнительных главных путей»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редакции распоряжения 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>от 03.02.2023 № ВЛ-61-р,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7195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планируется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изъяти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интересах ОАО «РЖД</w:t>
      </w:r>
      <w:r w:rsid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стр. 1; </w:t>
      </w:r>
      <w:proofErr w:type="spellStart"/>
      <w:r w:rsidR="00F43234" w:rsidRPr="00054E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dkrs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proofErr w:type="spellStart"/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msk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@</w:t>
      </w:r>
      <w:proofErr w:type="spellStart"/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msk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F43234" w:rsidRPr="00054E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rzd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F43234" w:rsidRPr="00054E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ru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</w:t>
      </w:r>
      <w:r w:rsidR="002161A1" w:rsidRP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2161A1" w:rsidRP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94-74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7B6A8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7B6A87" w:rsidRPr="007B6A87" w:rsidRDefault="007B6A87" w:rsidP="007B6A87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tbl>
      <w:tblPr>
        <w:tblW w:w="10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15"/>
        <w:gridCol w:w="6341"/>
      </w:tblGrid>
      <w:tr w:rsidR="007B6A87" w:rsidRPr="007B6A87" w:rsidTr="00C37EB9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B6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B6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 объекта недвижимого имущества, подлежащего изъятию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7B6A87" w:rsidRPr="007B6A87" w:rsidTr="00C37EB9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77:04:0001021:1035 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Москва, Таганский, ул. </w:t>
            </w:r>
            <w:proofErr w:type="spell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Золоторожский</w:t>
            </w:r>
            <w:proofErr w:type="spellEnd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Вал, д. 38а/15,строен. 8</w:t>
            </w:r>
            <w:proofErr w:type="gramEnd"/>
          </w:p>
        </w:tc>
      </w:tr>
      <w:tr w:rsidR="007B6A87" w:rsidRPr="007B6A87" w:rsidTr="00C37EB9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77:04:0001021:1000 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Москва, Таганский, ул. </w:t>
            </w:r>
            <w:proofErr w:type="spell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Золоторожский</w:t>
            </w:r>
            <w:proofErr w:type="spellEnd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Вал, д. 38а/15,строен. 9</w:t>
            </w:r>
            <w:proofErr w:type="gramEnd"/>
          </w:p>
        </w:tc>
      </w:tr>
      <w:tr w:rsidR="007B6A87" w:rsidRPr="007B6A87" w:rsidTr="00C37EB9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77:04:0001021:1046 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Москва, Таганский, ул. </w:t>
            </w:r>
            <w:proofErr w:type="spell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Золоторожский</w:t>
            </w:r>
            <w:proofErr w:type="spellEnd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Вал, д. 38а/15,строен. 10</w:t>
            </w:r>
            <w:proofErr w:type="gramEnd"/>
          </w:p>
        </w:tc>
      </w:tr>
      <w:tr w:rsidR="007B6A87" w:rsidRPr="007B6A87" w:rsidTr="00C37EB9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77:04:0001021:1047 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Москва, Таганский, ул. </w:t>
            </w:r>
            <w:proofErr w:type="spell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Золоторожский</w:t>
            </w:r>
            <w:proofErr w:type="spellEnd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Вал, д. 38а/15,строен. 13</w:t>
            </w:r>
            <w:proofErr w:type="gramEnd"/>
          </w:p>
        </w:tc>
      </w:tr>
      <w:tr w:rsidR="007B6A87" w:rsidRPr="007B6A87" w:rsidTr="00C37EB9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Москва, Таганский, ул. </w:t>
            </w:r>
            <w:proofErr w:type="spell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Золоторожский</w:t>
            </w:r>
            <w:proofErr w:type="spellEnd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Вал, д. 38а/15,строен. 24</w:t>
            </w:r>
            <w:proofErr w:type="gramEnd"/>
          </w:p>
        </w:tc>
      </w:tr>
      <w:tr w:rsidR="007B6A87" w:rsidRPr="007B6A87" w:rsidTr="00C37EB9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Москва, Таганский, ул. </w:t>
            </w:r>
            <w:proofErr w:type="spell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Золоторожский</w:t>
            </w:r>
            <w:proofErr w:type="spellEnd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Вал, д. 38а/15,строен. 27</w:t>
            </w:r>
            <w:proofErr w:type="gramEnd"/>
          </w:p>
        </w:tc>
      </w:tr>
      <w:tr w:rsidR="007B6A87" w:rsidRPr="007B6A87" w:rsidTr="00C37EB9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Москва, Таганский, ул. </w:t>
            </w:r>
            <w:proofErr w:type="spell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Золоторожский</w:t>
            </w:r>
            <w:proofErr w:type="spellEnd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Вал, д. 38а/15,строен. 28</w:t>
            </w:r>
            <w:proofErr w:type="gramEnd"/>
          </w:p>
        </w:tc>
      </w:tr>
      <w:tr w:rsidR="007B6A87" w:rsidRPr="007B6A87" w:rsidTr="00C37EB9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6A87" w:rsidRPr="007B6A87" w:rsidRDefault="007B6A87" w:rsidP="007B6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Москва, Таганский, ул. </w:t>
            </w:r>
            <w:proofErr w:type="spellStart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Золоторожский</w:t>
            </w:r>
            <w:proofErr w:type="spellEnd"/>
            <w:r w:rsidRPr="007B6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Вал, д. 38а/15,строен. 29</w:t>
            </w:r>
            <w:proofErr w:type="gramEnd"/>
          </w:p>
        </w:tc>
      </w:tr>
    </w:tbl>
    <w:p w:rsidR="00AC3781" w:rsidRDefault="00AC3781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585DE0" w:rsidRPr="007B6A87" w:rsidTr="007B6A87">
        <w:trPr>
          <w:trHeight w:val="2408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7B6A8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Росжелдора </w:t>
            </w:r>
            <w:r w:rsidR="007B6A87" w:rsidRPr="007B6A8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25.03.2022 № АИ-199-р «Об утверждении документации по планировке территории (проект планировки территории и проект межевания территории) по объекту: «Реконструкция участка Москва-Пассажирская-Курская (вкл.) – Москва-Товарная-Курская – Карачарово (искл.) со строительством дополнительных главных путей», в редакции распоряжения от 03.02.2023 </w:t>
            </w:r>
            <w:r w:rsidR="007B6A8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7B6A87" w:rsidRPr="007B6A8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 ВЛ-61-р</w:t>
            </w:r>
          </w:p>
        </w:tc>
      </w:tr>
      <w:tr w:rsidR="00F43234" w:rsidRPr="00FA6ED3" w:rsidTr="007B6A87">
        <w:trPr>
          <w:trHeight w:val="3248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</w:t>
            </w:r>
            <w:r w:rsidR="007B6A8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учете прав 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7B6A8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</w:t>
            </w:r>
            <w:proofErr w:type="gramStart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ходатайстве</w:t>
            </w:r>
            <w:proofErr w:type="gramEnd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 планируемом изъятии 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276A82" w:rsidRDefault="00276A82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276A82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276A82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7B6A87">
        <w:trPr>
          <w:trHeight w:val="2686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с приложением копий документов, подтверждающих эти права (обременения прав).</w:t>
            </w:r>
            <w:proofErr w:type="gramEnd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C37EB9" w:rsidRDefault="00276A8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C37EB9"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  <w:t>Префектура Центрального административного округа города Москвы</w:t>
            </w:r>
          </w:p>
          <w:p w:rsidR="00A769B6" w:rsidRDefault="00276A8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276A82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 109147, Россия, г. Москва, Марксистская ул. д.24</w:t>
            </w:r>
          </w:p>
          <w:p w:rsidR="00A769B6" w:rsidRDefault="00C37EB9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37EB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для отправки в электронном виде: www.cao.mos.ru, раздел «Электронная приемная»</w:t>
            </w:r>
          </w:p>
          <w:p w:rsidR="00C37EB9" w:rsidRPr="00433F4F" w:rsidRDefault="00C37EB9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43234" w:rsidRPr="00FA6ED3" w:rsidTr="007B6A87">
        <w:trPr>
          <w:trHeight w:val="1547"/>
          <w:jc w:val="center"/>
        </w:trPr>
        <w:tc>
          <w:tcPr>
            <w:tcW w:w="10207" w:type="dxa"/>
            <w:shd w:val="clear" w:color="auto" w:fill="auto"/>
            <w:vAlign w:val="center"/>
          </w:tcPr>
          <w:p w:rsidR="00F43234" w:rsidRPr="008A16A9" w:rsidRDefault="00C4312D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7B6A87">
      <w:pgSz w:w="11906" w:h="16838"/>
      <w:pgMar w:top="1134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76A82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B6A87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F2515"/>
    <w:rsid w:val="00C110AC"/>
    <w:rsid w:val="00C37EB9"/>
    <w:rsid w:val="00C4312D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B6A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B6A8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B6A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B6A8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D1916-7782-4581-AEDA-12CC1673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Блинова Мария Федоровна</cp:lastModifiedBy>
  <cp:revision>2</cp:revision>
  <cp:lastPrinted>2023-03-07T09:04:00Z</cp:lastPrinted>
  <dcterms:created xsi:type="dcterms:W3CDTF">2023-06-16T13:04:00Z</dcterms:created>
  <dcterms:modified xsi:type="dcterms:W3CDTF">2023-06-16T13:04:00Z</dcterms:modified>
</cp:coreProperties>
</file>